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6E" w:rsidRDefault="00CA3A6E" w:rsidP="00CA3A6E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>.1.</w:t>
      </w:r>
      <w:r>
        <w:rPr>
          <w:rFonts w:ascii="Arial" w:hAnsi="Arial" w:cs="Arial"/>
          <w:sz w:val="20"/>
        </w:rPr>
        <w:t>6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Maßnahmen im Notfall, Brandschutz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CA3A6E" w:rsidRPr="005C492D" w:rsidTr="00C06903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CA3A6E" w:rsidRPr="007A5B96" w:rsidRDefault="00CA3A6E" w:rsidP="00C06903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3.1.</w:t>
            </w:r>
            <w:r>
              <w:rPr>
                <w:bCs/>
                <w:color w:val="808080"/>
              </w:rPr>
              <w:t>6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CA3A6E" w:rsidRPr="009E746C" w:rsidRDefault="00CA3A6E" w:rsidP="00C06903">
            <w:pPr>
              <w:pStyle w:val="grau"/>
              <w:jc w:val="left"/>
            </w:pPr>
            <w:r>
              <w:rPr>
                <w:rFonts w:cs="Arial"/>
              </w:rPr>
              <w:t>Maßnahmen im Notfall, Brandschutz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A3A6E" w:rsidRPr="007A5B96" w:rsidRDefault="00CA3A6E" w:rsidP="00C06903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CA3A6E" w:rsidRPr="005C492D" w:rsidTr="00C06903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A3A6E" w:rsidRDefault="00CA3A6E" w:rsidP="00C06903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CA3A6E" w:rsidTr="00C06903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CA3A6E" w:rsidRPr="005C492D" w:rsidRDefault="00CA3A6E" w:rsidP="00C06903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CA3A6E" w:rsidRPr="005C492D" w:rsidRDefault="00CA3A6E" w:rsidP="00C06903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A3A6E" w:rsidRPr="005C492D" w:rsidRDefault="00CA3A6E" w:rsidP="00C06903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CA3A6E" w:rsidRDefault="00CA3A6E" w:rsidP="00C06903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CA3A6E" w:rsidRPr="007E31DC" w:rsidRDefault="00CA3A6E" w:rsidP="00C06903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CA3A6E" w:rsidRPr="007E31DC" w:rsidRDefault="00CA3A6E" w:rsidP="00C06903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CA3A6E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726F42" w:rsidRDefault="00CA3A6E" w:rsidP="00C06903">
            <w:r w:rsidRPr="00726F42">
              <w:t>1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Ist festgelegt, welche Maßnahmen in Notfällen durchgeführt werden müssen?</w:t>
            </w:r>
          </w:p>
          <w:p w:rsidR="00CA3A6E" w:rsidRPr="00726F42" w:rsidRDefault="00CA3A6E" w:rsidP="00C06903"/>
        </w:tc>
        <w:tc>
          <w:tcPr>
            <w:tcW w:w="1980" w:type="dxa"/>
            <w:shd w:val="clear" w:color="auto" w:fill="auto"/>
          </w:tcPr>
          <w:p w:rsidR="00CA3A6E" w:rsidRPr="00726F42" w:rsidRDefault="00CA3A6E" w:rsidP="00C06903">
            <w:r w:rsidRPr="00726F42">
              <w:t>§ 10 ArbSchG</w:t>
            </w:r>
          </w:p>
          <w:p w:rsidR="00CA3A6E" w:rsidRPr="00726F42" w:rsidRDefault="00CA3A6E" w:rsidP="00C06903">
            <w:r w:rsidRPr="00726F42">
              <w:t>§ 22 DGUV Vorschrift 1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 w:rsidRPr="00726F42">
              <w:t>Fehlverhalten oder kein der Gefahrensituation angepasstes Verhalten</w:t>
            </w:r>
          </w:p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 w:rsidRPr="00726F42">
              <w:t>In einem Alarmplan ist festgelegt, welche Maßnahmen in Notfällen wie Brand, Unfall, Einbruch, Überfall durchgeführt werden müssen.</w:t>
            </w:r>
          </w:p>
          <w:p w:rsidR="00CA3A6E" w:rsidRPr="00726F42" w:rsidRDefault="00CA3A6E" w:rsidP="00C06903">
            <w:r w:rsidRPr="00726F42">
              <w:t>Der Alarmplan ist an geeigneten Stellen in der Kita ausgehängt.</w:t>
            </w:r>
          </w:p>
          <w:p w:rsidR="00CA3A6E" w:rsidRPr="00726F42" w:rsidRDefault="00CA3A6E" w:rsidP="00C06903">
            <w:r w:rsidRPr="00726F42">
              <w:t xml:space="preserve">Der Alarmplan wird regelmäßig aktualisiert (bei Änderung von Telefonnummern, Personalwechsel usw.) </w:t>
            </w:r>
          </w:p>
          <w:p w:rsidR="00CA3A6E" w:rsidRPr="00726F42" w:rsidRDefault="00CA3A6E" w:rsidP="00C06903">
            <w:r w:rsidRPr="00726F42">
              <w:t>Hinweis: Der Alarmplan kann zweckmäßig in den Flucht- und Rettungsplan (siehe nachfolgende Nr. 2) integriert werden.</w:t>
            </w:r>
          </w:p>
        </w:tc>
        <w:tc>
          <w:tcPr>
            <w:tcW w:w="1947" w:type="dxa"/>
            <w:shd w:val="clear" w:color="auto" w:fill="auto"/>
          </w:tcPr>
          <w:p w:rsidR="00CA3A6E" w:rsidRPr="00A61745" w:rsidRDefault="00CA3A6E" w:rsidP="00C06903"/>
        </w:tc>
        <w:tc>
          <w:tcPr>
            <w:tcW w:w="573" w:type="dxa"/>
            <w:shd w:val="clear" w:color="auto" w:fill="auto"/>
          </w:tcPr>
          <w:p w:rsidR="00CA3A6E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  <w:tr w:rsidR="00CA3A6E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726F42" w:rsidRDefault="00CA3A6E" w:rsidP="00C06903">
            <w:r w:rsidRPr="00726F42">
              <w:t>2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Ist für die Kita ein Flucht- und Rettungsplan aufgestellt?</w:t>
            </w:r>
          </w:p>
          <w:p w:rsidR="00CA3A6E" w:rsidRPr="00726F42" w:rsidRDefault="00CA3A6E" w:rsidP="00C06903">
            <w:r w:rsidRPr="00726F4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A3A6E" w:rsidRPr="00726F42" w:rsidRDefault="00CA3A6E" w:rsidP="00C06903">
            <w:r w:rsidRPr="00726F42">
              <w:t>§ 10 ArbSchG</w:t>
            </w:r>
          </w:p>
          <w:p w:rsidR="00CA3A6E" w:rsidRPr="00726F42" w:rsidRDefault="00CA3A6E" w:rsidP="00C06903">
            <w:r w:rsidRPr="00726F42">
              <w:t xml:space="preserve">§ 4 (4) ArbStättV </w:t>
            </w:r>
          </w:p>
          <w:p w:rsidR="00CA3A6E" w:rsidRPr="00726F42" w:rsidRDefault="00CA3A6E" w:rsidP="00C06903">
            <w:r w:rsidRPr="00726F42">
              <w:t xml:space="preserve">§ 22 (1) DGUV Vorschrift 1 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Beeinträchtigung der Selbstrettung und Evakuierung im Gefahrfall </w:t>
            </w:r>
          </w:p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>
              <w:t xml:space="preserve">Ein Flucht- </w:t>
            </w:r>
            <w:r w:rsidRPr="00726F42">
              <w:t xml:space="preserve">und Rettungsplan ist erstellt. </w:t>
            </w:r>
          </w:p>
          <w:p w:rsidR="00CA3A6E" w:rsidRPr="00726F42" w:rsidRDefault="00CA3A6E" w:rsidP="00C06903">
            <w:r w:rsidRPr="00726F42">
              <w:t xml:space="preserve">Der Flucht- und Rettungsplan enthält graphische Darstellungen über 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den Gebäudegrundriss oder Teile davon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den Verlauf der Flucht-und Rettungswegen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die Lage der Erste-Hilfe-Einrichtungen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die Lage der Brandschutzeinrichtungen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die Lage der Sammelstellen und</w:t>
            </w:r>
          </w:p>
          <w:p w:rsidR="00CA3A6E" w:rsidRPr="00726F42" w:rsidRDefault="00CA3A6E" w:rsidP="00C06903">
            <w:pPr>
              <w:ind w:left="127" w:hanging="127"/>
            </w:pPr>
            <w:r w:rsidRPr="00357B14">
              <w:t xml:space="preserve">• </w:t>
            </w:r>
            <w:r w:rsidRPr="00726F42">
              <w:t>den Standort des Betrachters.</w:t>
            </w:r>
          </w:p>
          <w:p w:rsidR="00CA3A6E" w:rsidRPr="00726F42" w:rsidRDefault="00CA3A6E" w:rsidP="00C06903">
            <w:r w:rsidRPr="00726F42">
              <w:t xml:space="preserve">Der Flucht- und Rettungsplan enthält in kurzer prägnanter Form eindeutige Regeln für das Verhalten im Brandfall und das Verhalten bei Unfällen. </w:t>
            </w:r>
          </w:p>
          <w:p w:rsidR="00CA3A6E" w:rsidRPr="00726F42" w:rsidRDefault="00CA3A6E" w:rsidP="00C06903">
            <w:r w:rsidRPr="00726F42">
              <w:t>(Siehe hierzu auch Ziff. 9 ASR A2.3 und Ziff. 4.4.1 DGUV Regel 100-001)</w:t>
            </w:r>
          </w:p>
        </w:tc>
        <w:tc>
          <w:tcPr>
            <w:tcW w:w="1947" w:type="dxa"/>
            <w:shd w:val="clear" w:color="auto" w:fill="auto"/>
          </w:tcPr>
          <w:p w:rsidR="00CA3A6E" w:rsidRPr="00A61745" w:rsidRDefault="00CA3A6E" w:rsidP="00C06903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CA3A6E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  <w:tr w:rsidR="00CA3A6E" w:rsidRPr="007D722B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357B14" w:rsidRDefault="00CA3A6E" w:rsidP="00C06903">
            <w:r w:rsidRPr="00357B14">
              <w:lastRenderedPageBreak/>
              <w:t>3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Sind für den Evakuierungsfall Maßnahmen getroffen, so dass auch Menschen mit Behinderungen das Gebäude sicher verlassen können?</w:t>
            </w:r>
          </w:p>
        </w:tc>
        <w:tc>
          <w:tcPr>
            <w:tcW w:w="1980" w:type="dxa"/>
            <w:shd w:val="clear" w:color="auto" w:fill="auto"/>
          </w:tcPr>
          <w:p w:rsidR="00CA3A6E" w:rsidRDefault="00CA3A6E" w:rsidP="00C06903">
            <w:r w:rsidRPr="00726F42">
              <w:t xml:space="preserve">§§ 3 (1) und 3a (2) ArbStättV </w:t>
            </w:r>
          </w:p>
          <w:p w:rsidR="00CA3A6E" w:rsidRPr="00726F42" w:rsidRDefault="00CA3A6E" w:rsidP="00C06903">
            <w:r w:rsidRPr="00726F42">
              <w:t>Anhang 2.3 ArbStättV</w:t>
            </w:r>
          </w:p>
          <w:p w:rsidR="00CA3A6E" w:rsidRPr="00726F42" w:rsidRDefault="00CA3A6E" w:rsidP="00C06903">
            <w:r w:rsidRPr="00726F42">
              <w:t xml:space="preserve">§ 38 </w:t>
            </w:r>
            <w:proofErr w:type="spellStart"/>
            <w:r w:rsidRPr="00726F42">
              <w:t>BauO</w:t>
            </w:r>
            <w:proofErr w:type="spellEnd"/>
            <w:r w:rsidRPr="00726F42">
              <w:t xml:space="preserve"> NRW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Gebäuderäumung gefährdet, </w:t>
            </w:r>
          </w:p>
          <w:p w:rsidR="00CA3A6E" w:rsidRPr="00726F42" w:rsidRDefault="00CA3A6E" w:rsidP="00C06903">
            <w:r w:rsidRPr="00726F42">
              <w:t>Unfall- und Gesundheitsgefahren</w:t>
            </w:r>
          </w:p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 w:rsidRPr="00726F42">
              <w:t>Soweit erforderlich, sind besondere Hilfsmittel angeschafft (z.B. Evakuierungsstühle).</w:t>
            </w:r>
          </w:p>
        </w:tc>
        <w:tc>
          <w:tcPr>
            <w:tcW w:w="1947" w:type="dxa"/>
            <w:shd w:val="clear" w:color="auto" w:fill="auto"/>
          </w:tcPr>
          <w:p w:rsidR="00CA3A6E" w:rsidRPr="007D722B" w:rsidRDefault="00CA3A6E" w:rsidP="00C06903"/>
        </w:tc>
        <w:tc>
          <w:tcPr>
            <w:tcW w:w="573" w:type="dxa"/>
            <w:shd w:val="clear" w:color="auto" w:fill="auto"/>
          </w:tcPr>
          <w:p w:rsidR="00CA3A6E" w:rsidRPr="007D722B" w:rsidRDefault="00CA3A6E" w:rsidP="00C06903"/>
        </w:tc>
        <w:tc>
          <w:tcPr>
            <w:tcW w:w="540" w:type="dxa"/>
            <w:shd w:val="clear" w:color="auto" w:fill="auto"/>
          </w:tcPr>
          <w:p w:rsidR="00CA3A6E" w:rsidRPr="007D722B" w:rsidRDefault="00CA3A6E" w:rsidP="00C06903"/>
        </w:tc>
      </w:tr>
      <w:tr w:rsidR="00CA3A6E" w:rsidRPr="007D722B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726F42" w:rsidRDefault="00CA3A6E" w:rsidP="00C06903">
            <w:r w:rsidRPr="00726F42">
              <w:t>4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Sind Beschäftigte durch fachkundige Unterweisung und praktische Übung im Umgang mit Feuerlöscheinrichtungen vertraut und als Brandschutzhelfer benannt?</w:t>
            </w:r>
          </w:p>
        </w:tc>
        <w:tc>
          <w:tcPr>
            <w:tcW w:w="198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§ 12 ArbSchG und </w:t>
            </w:r>
          </w:p>
          <w:p w:rsidR="00CA3A6E" w:rsidRPr="00726F42" w:rsidRDefault="00CA3A6E" w:rsidP="00C06903">
            <w:r w:rsidRPr="00726F42">
              <w:t>§ 22 DGUV Vorschrift 1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 w:rsidRPr="00726F42">
              <w:t>Entstehungsbrände können nicht (zügig) bekämpft werden</w:t>
            </w:r>
          </w:p>
          <w:p w:rsidR="00CA3A6E" w:rsidRPr="00726F42" w:rsidRDefault="00CA3A6E" w:rsidP="00C06903"/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 w:rsidRPr="00726F42">
              <w:t>Beschäftigte für Brandbekämpfung und Evakuierung (Brandschutzhelfer i.S. der ASR A2.2 Abschnitt 6.2 und 7(1)) sind in ausreichender Anzahl benannt und entsprechend ausgebildet.</w:t>
            </w:r>
          </w:p>
          <w:p w:rsidR="00CA3A6E" w:rsidRPr="00726F42" w:rsidRDefault="00CA3A6E" w:rsidP="00C06903">
            <w:r w:rsidRPr="00726F42">
              <w:t>(Siehe hierzu auch Ziff. 4.4.2 DGUV Regel 100-001, Ziff. 6.2 und 7(1) ASR A2.</w:t>
            </w:r>
            <w:r>
              <w:t>2 und DGUV Information 205-023)</w:t>
            </w:r>
          </w:p>
        </w:tc>
        <w:tc>
          <w:tcPr>
            <w:tcW w:w="1947" w:type="dxa"/>
            <w:shd w:val="clear" w:color="auto" w:fill="auto"/>
          </w:tcPr>
          <w:p w:rsidR="00CA3A6E" w:rsidRPr="007D722B" w:rsidRDefault="00CA3A6E" w:rsidP="00C06903"/>
        </w:tc>
        <w:tc>
          <w:tcPr>
            <w:tcW w:w="573" w:type="dxa"/>
            <w:shd w:val="clear" w:color="auto" w:fill="auto"/>
          </w:tcPr>
          <w:p w:rsidR="00CA3A6E" w:rsidRPr="007D722B" w:rsidRDefault="00CA3A6E" w:rsidP="00C06903"/>
        </w:tc>
        <w:tc>
          <w:tcPr>
            <w:tcW w:w="540" w:type="dxa"/>
            <w:shd w:val="clear" w:color="auto" w:fill="auto"/>
          </w:tcPr>
          <w:p w:rsidR="00CA3A6E" w:rsidRPr="007D722B" w:rsidRDefault="00CA3A6E" w:rsidP="00C06903"/>
        </w:tc>
      </w:tr>
      <w:tr w:rsidR="00CA3A6E" w:rsidRPr="007D722B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357B14" w:rsidRDefault="00CA3A6E" w:rsidP="00C06903">
            <w:r w:rsidRPr="00357B14">
              <w:t>5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Wird auf Ordnung und Sauberkeit im Sinne des Brandschutzes geachtet?</w:t>
            </w:r>
          </w:p>
        </w:tc>
        <w:tc>
          <w:tcPr>
            <w:tcW w:w="198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§§ 3 und 15 ArbSchG </w:t>
            </w:r>
          </w:p>
          <w:p w:rsidR="00CA3A6E" w:rsidRPr="00726F42" w:rsidRDefault="00CA3A6E" w:rsidP="00C06903">
            <w:r w:rsidRPr="00726F42">
              <w:t>§§ 3 und 4 ArbStättV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 w:rsidRPr="00726F42">
              <w:t>Gefahr der unkontrollierten Brandentstehung und Brandausbreitung</w:t>
            </w:r>
          </w:p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Fluchtwege freihalten. </w:t>
            </w:r>
          </w:p>
          <w:p w:rsidR="00CA3A6E" w:rsidRPr="00726F42" w:rsidRDefault="00CA3A6E" w:rsidP="00C06903">
            <w:r w:rsidRPr="00726F42">
              <w:t>Nicht erforderliche brennbare Materialien entfernen oder sachgerecht lagern.</w:t>
            </w:r>
          </w:p>
        </w:tc>
        <w:tc>
          <w:tcPr>
            <w:tcW w:w="1947" w:type="dxa"/>
            <w:shd w:val="clear" w:color="auto" w:fill="auto"/>
          </w:tcPr>
          <w:p w:rsidR="00CA3A6E" w:rsidRPr="00B32AA5" w:rsidRDefault="00CA3A6E" w:rsidP="00C06903"/>
        </w:tc>
        <w:tc>
          <w:tcPr>
            <w:tcW w:w="573" w:type="dxa"/>
            <w:shd w:val="clear" w:color="auto" w:fill="auto"/>
          </w:tcPr>
          <w:p w:rsidR="00CA3A6E" w:rsidRPr="007D722B" w:rsidRDefault="00CA3A6E" w:rsidP="00C06903"/>
        </w:tc>
        <w:tc>
          <w:tcPr>
            <w:tcW w:w="540" w:type="dxa"/>
            <w:shd w:val="clear" w:color="auto" w:fill="auto"/>
          </w:tcPr>
          <w:p w:rsidR="00CA3A6E" w:rsidRPr="007D722B" w:rsidRDefault="00CA3A6E" w:rsidP="00C06903"/>
        </w:tc>
      </w:tr>
      <w:tr w:rsidR="00CA3A6E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726F42" w:rsidRDefault="00CA3A6E" w:rsidP="00C06903">
            <w:r w:rsidRPr="00726F42">
              <w:t>6</w:t>
            </w:r>
          </w:p>
        </w:tc>
        <w:tc>
          <w:tcPr>
            <w:tcW w:w="2830" w:type="dxa"/>
            <w:shd w:val="clear" w:color="auto" w:fill="auto"/>
          </w:tcPr>
          <w:p w:rsidR="00CA3A6E" w:rsidRPr="00726F42" w:rsidRDefault="00CA3A6E" w:rsidP="00C06903">
            <w:r w:rsidRPr="00726F42">
              <w:t>Wurden Anzahl, Art und Standorte der zur Selbsthilfe erforderlichen Feuerlöscheinrichtungen fachkundig ermittelt?</w:t>
            </w:r>
          </w:p>
        </w:tc>
        <w:tc>
          <w:tcPr>
            <w:tcW w:w="1980" w:type="dxa"/>
            <w:shd w:val="clear" w:color="auto" w:fill="auto"/>
          </w:tcPr>
          <w:p w:rsidR="00CA3A6E" w:rsidRPr="00726F42" w:rsidRDefault="00CA3A6E" w:rsidP="00C06903">
            <w:r w:rsidRPr="00726F42">
              <w:t>§ 4 ArbStättV und Anhang Ziffer 2.2 (1) ArbStättV</w:t>
            </w:r>
          </w:p>
          <w:p w:rsidR="00CA3A6E" w:rsidRPr="00726F42" w:rsidRDefault="00CA3A6E" w:rsidP="00C06903">
            <w:r w:rsidRPr="00726F4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A3A6E" w:rsidRPr="00726F42" w:rsidRDefault="00CA3A6E" w:rsidP="00C06903">
            <w:r>
              <w:t>Entstehungs</w:t>
            </w:r>
            <w:r w:rsidRPr="00726F42">
              <w:t>brände können nicht (zügig) bekämpft werden</w:t>
            </w:r>
          </w:p>
        </w:tc>
        <w:tc>
          <w:tcPr>
            <w:tcW w:w="3780" w:type="dxa"/>
            <w:shd w:val="clear" w:color="auto" w:fill="auto"/>
          </w:tcPr>
          <w:p w:rsidR="00CA3A6E" w:rsidRPr="00726F42" w:rsidRDefault="00CA3A6E" w:rsidP="00C06903">
            <w:r w:rsidRPr="00726F42">
              <w:t xml:space="preserve">Durch Fachkundigen beraten lassen, Feuerlöscher in der erforderlichen Anzahl und Art am richtigen Ort bereitstellen. </w:t>
            </w:r>
          </w:p>
          <w:p w:rsidR="00CA3A6E" w:rsidRPr="00726F42" w:rsidRDefault="00CA3A6E" w:rsidP="00C06903">
            <w:r w:rsidRPr="00726F42">
              <w:t>(Siehe hierzu auch ASR A2.2)</w:t>
            </w:r>
          </w:p>
        </w:tc>
        <w:tc>
          <w:tcPr>
            <w:tcW w:w="1947" w:type="dxa"/>
            <w:shd w:val="clear" w:color="auto" w:fill="auto"/>
          </w:tcPr>
          <w:p w:rsidR="00CA3A6E" w:rsidRPr="00B32AA5" w:rsidRDefault="00CA3A6E" w:rsidP="00C06903"/>
        </w:tc>
        <w:tc>
          <w:tcPr>
            <w:tcW w:w="573" w:type="dxa"/>
            <w:shd w:val="clear" w:color="auto" w:fill="auto"/>
          </w:tcPr>
          <w:p w:rsidR="00CA3A6E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  <w:tr w:rsidR="00CA3A6E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123582" w:rsidRDefault="00CA3A6E" w:rsidP="00C06903">
            <w:r w:rsidRPr="00123582">
              <w:lastRenderedPageBreak/>
              <w:t>7</w:t>
            </w:r>
          </w:p>
        </w:tc>
        <w:tc>
          <w:tcPr>
            <w:tcW w:w="2830" w:type="dxa"/>
            <w:shd w:val="clear" w:color="auto" w:fill="auto"/>
          </w:tcPr>
          <w:p w:rsidR="00CA3A6E" w:rsidRPr="00123582" w:rsidRDefault="00CA3A6E" w:rsidP="00C06903">
            <w:r w:rsidRPr="00123582">
              <w:t xml:space="preserve">Sind die Feuerlöscher und andere </w:t>
            </w:r>
            <w:proofErr w:type="spellStart"/>
            <w:r w:rsidRPr="00123582">
              <w:t>Feuerlöschein</w:t>
            </w:r>
            <w:proofErr w:type="spellEnd"/>
            <w:r w:rsidRPr="00123582">
              <w:t xml:space="preserve">-richtungen sowie sonstige Brandschutzeinrichtungen </w:t>
            </w:r>
            <w:r>
              <w:br/>
            </w:r>
            <w:r w:rsidRPr="00123582">
              <w:t>(z.B. Druckknopffeuermelder) jederzeit eindeutig erkennbar und zugänglich?</w:t>
            </w:r>
          </w:p>
        </w:tc>
        <w:tc>
          <w:tcPr>
            <w:tcW w:w="1980" w:type="dxa"/>
            <w:shd w:val="clear" w:color="auto" w:fill="auto"/>
          </w:tcPr>
          <w:p w:rsidR="00CA3A6E" w:rsidRPr="00123582" w:rsidRDefault="00CA3A6E" w:rsidP="00C06903">
            <w:r w:rsidRPr="00123582">
              <w:t xml:space="preserve">§ 4 ArbStättV und Anhang Ziff. 2.2 (2) ArbStättV </w:t>
            </w:r>
          </w:p>
          <w:p w:rsidR="00CA3A6E" w:rsidRPr="00123582" w:rsidRDefault="00CA3A6E" w:rsidP="00C06903"/>
        </w:tc>
        <w:tc>
          <w:tcPr>
            <w:tcW w:w="2340" w:type="dxa"/>
            <w:shd w:val="clear" w:color="auto" w:fill="auto"/>
          </w:tcPr>
          <w:p w:rsidR="00CA3A6E" w:rsidRPr="00123582" w:rsidRDefault="00CA3A6E" w:rsidP="00C06903">
            <w:r w:rsidRPr="00123582">
              <w:t>Brandbekämpfung und Brandmeldung wird verzögert</w:t>
            </w:r>
          </w:p>
        </w:tc>
        <w:tc>
          <w:tcPr>
            <w:tcW w:w="3780" w:type="dxa"/>
            <w:shd w:val="clear" w:color="auto" w:fill="auto"/>
          </w:tcPr>
          <w:p w:rsidR="00CA3A6E" w:rsidRPr="00123582" w:rsidRDefault="00CA3A6E" w:rsidP="00C06903">
            <w:r w:rsidRPr="00123582">
              <w:t>Standorte von (nicht jederzeit</w:t>
            </w:r>
            <w:r>
              <w:t xml:space="preserve"> erkennbaren) Feuer</w:t>
            </w:r>
            <w:r w:rsidRPr="00123582">
              <w:t>löschern und anderen Feuerlöscheinrichtungen sind gekennzeichnet.</w:t>
            </w:r>
          </w:p>
          <w:p w:rsidR="00CA3A6E" w:rsidRPr="00123582" w:rsidRDefault="00CA3A6E" w:rsidP="00C06903">
            <w:r w:rsidRPr="00123582">
              <w:t>In Fluchtwegen ohne Sicherheits</w:t>
            </w:r>
            <w:r>
              <w:softHyphen/>
            </w:r>
            <w:r w:rsidRPr="00123582">
              <w:t>beleuchtung sind die Standorte der Feuerlöscheinrichtungen durch lang nachleuchtende Sicherheitszeichen gekennzeichnet.</w:t>
            </w:r>
          </w:p>
          <w:p w:rsidR="00CA3A6E" w:rsidRPr="00123582" w:rsidRDefault="00CA3A6E" w:rsidP="00C06903">
            <w:r w:rsidRPr="00123582">
              <w:t>Zugang zu Feuerlöschern und anderen Feuerlöscheinrichtungen ist jederzeit gewährleistet.</w:t>
            </w:r>
          </w:p>
          <w:p w:rsidR="00CA3A6E" w:rsidRPr="00123582" w:rsidRDefault="00CA3A6E" w:rsidP="00C06903">
            <w:r w:rsidRPr="00123582">
              <w:t xml:space="preserve">(Siehe hierzu </w:t>
            </w:r>
            <w:r>
              <w:t>auch „Abschnitt 5 ASR A 1.3 und</w:t>
            </w:r>
            <w:r w:rsidRPr="00123582">
              <w:t xml:space="preserve"> ASR A 2.2)</w:t>
            </w:r>
          </w:p>
        </w:tc>
        <w:tc>
          <w:tcPr>
            <w:tcW w:w="1947" w:type="dxa"/>
            <w:shd w:val="clear" w:color="auto" w:fill="auto"/>
          </w:tcPr>
          <w:p w:rsidR="00CA3A6E" w:rsidRPr="00B32AA5" w:rsidRDefault="00CA3A6E" w:rsidP="00C06903"/>
        </w:tc>
        <w:tc>
          <w:tcPr>
            <w:tcW w:w="573" w:type="dxa"/>
            <w:shd w:val="clear" w:color="auto" w:fill="auto"/>
          </w:tcPr>
          <w:p w:rsidR="00CA3A6E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  <w:tr w:rsidR="00CA3A6E" w:rsidTr="00C06903">
        <w:trPr>
          <w:cantSplit/>
        </w:trPr>
        <w:tc>
          <w:tcPr>
            <w:tcW w:w="590" w:type="dxa"/>
            <w:shd w:val="clear" w:color="auto" w:fill="auto"/>
          </w:tcPr>
          <w:p w:rsidR="00CA3A6E" w:rsidRPr="00726F42" w:rsidRDefault="00CA3A6E" w:rsidP="00C06903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CA3A6E" w:rsidRPr="00123582" w:rsidRDefault="00CA3A6E" w:rsidP="00C06903">
            <w:r w:rsidRPr="00123582">
              <w:t xml:space="preserve">Ist gewährleistet, dass alle Türen und Verschlüsse mit Brandschutzfunktion nicht entgegen ihrer Funktion offengehalten werden? </w:t>
            </w:r>
          </w:p>
        </w:tc>
        <w:tc>
          <w:tcPr>
            <w:tcW w:w="1980" w:type="dxa"/>
            <w:shd w:val="clear" w:color="auto" w:fill="auto"/>
          </w:tcPr>
          <w:p w:rsidR="00CA3A6E" w:rsidRPr="00123582" w:rsidRDefault="00CA3A6E" w:rsidP="00C06903">
            <w:r w:rsidRPr="00123582">
              <w:t xml:space="preserve">§§ 3, 4, 15, 16 ArbSchG </w:t>
            </w:r>
          </w:p>
          <w:p w:rsidR="00CA3A6E" w:rsidRPr="00123582" w:rsidRDefault="00CA3A6E" w:rsidP="00C06903">
            <w:r w:rsidRPr="00123582">
              <w:t>§§ 15, 16 DGUV Vorschrift 1</w:t>
            </w:r>
          </w:p>
        </w:tc>
        <w:tc>
          <w:tcPr>
            <w:tcW w:w="2340" w:type="dxa"/>
            <w:shd w:val="clear" w:color="auto" w:fill="auto"/>
          </w:tcPr>
          <w:p w:rsidR="00CA3A6E" w:rsidRPr="00123582" w:rsidRDefault="00CA3A6E" w:rsidP="00C06903">
            <w:r w:rsidRPr="00123582">
              <w:t>Unkontrollierte Rauch-, Brandgas- und Brandausbreitung</w:t>
            </w:r>
          </w:p>
        </w:tc>
        <w:tc>
          <w:tcPr>
            <w:tcW w:w="3780" w:type="dxa"/>
            <w:shd w:val="clear" w:color="auto" w:fill="auto"/>
          </w:tcPr>
          <w:p w:rsidR="00CA3A6E" w:rsidRPr="00123582" w:rsidRDefault="00CA3A6E" w:rsidP="00C06903">
            <w:r w:rsidRPr="00123582">
              <w:t>Offenhalten wirksam verhindern bzw. Ersatzmaßnahmen schaffen (z.B. durch bauaufsichtlich zugelassene Feststellanlagen).</w:t>
            </w:r>
          </w:p>
          <w:p w:rsidR="00CA3A6E" w:rsidRPr="00123582" w:rsidRDefault="00CA3A6E" w:rsidP="00C06903"/>
        </w:tc>
        <w:tc>
          <w:tcPr>
            <w:tcW w:w="1947" w:type="dxa"/>
            <w:shd w:val="clear" w:color="auto" w:fill="auto"/>
          </w:tcPr>
          <w:p w:rsidR="00CA3A6E" w:rsidRPr="00B32AA5" w:rsidRDefault="00CA3A6E" w:rsidP="00C06903"/>
        </w:tc>
        <w:tc>
          <w:tcPr>
            <w:tcW w:w="573" w:type="dxa"/>
            <w:shd w:val="clear" w:color="auto" w:fill="auto"/>
          </w:tcPr>
          <w:p w:rsidR="00CA3A6E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  <w:tr w:rsidR="00CA3A6E" w:rsidTr="00C06903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CA3A6E" w:rsidRPr="005716FE" w:rsidRDefault="00CA3A6E" w:rsidP="00C06903"/>
        </w:tc>
        <w:tc>
          <w:tcPr>
            <w:tcW w:w="2830" w:type="dxa"/>
            <w:shd w:val="clear" w:color="auto" w:fill="auto"/>
          </w:tcPr>
          <w:p w:rsidR="00CA3A6E" w:rsidRPr="005716FE" w:rsidRDefault="00CA3A6E" w:rsidP="00C06903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CA3A6E" w:rsidRPr="005716FE" w:rsidRDefault="00CA3A6E" w:rsidP="00C06903"/>
        </w:tc>
        <w:tc>
          <w:tcPr>
            <w:tcW w:w="2340" w:type="dxa"/>
            <w:shd w:val="clear" w:color="auto" w:fill="auto"/>
          </w:tcPr>
          <w:p w:rsidR="00CA3A6E" w:rsidRPr="005716FE" w:rsidRDefault="00CA3A6E" w:rsidP="00C06903"/>
        </w:tc>
        <w:tc>
          <w:tcPr>
            <w:tcW w:w="3780" w:type="dxa"/>
            <w:shd w:val="clear" w:color="auto" w:fill="auto"/>
          </w:tcPr>
          <w:p w:rsidR="00CA3A6E" w:rsidRPr="005716FE" w:rsidRDefault="00CA3A6E" w:rsidP="00C06903"/>
        </w:tc>
        <w:tc>
          <w:tcPr>
            <w:tcW w:w="1947" w:type="dxa"/>
            <w:shd w:val="clear" w:color="auto" w:fill="auto"/>
          </w:tcPr>
          <w:p w:rsidR="00CA3A6E" w:rsidRPr="005716FE" w:rsidRDefault="00CA3A6E" w:rsidP="00C06903"/>
        </w:tc>
        <w:tc>
          <w:tcPr>
            <w:tcW w:w="573" w:type="dxa"/>
            <w:shd w:val="clear" w:color="auto" w:fill="auto"/>
          </w:tcPr>
          <w:p w:rsidR="00CA3A6E" w:rsidRPr="00B32AA5" w:rsidRDefault="00CA3A6E" w:rsidP="00C06903"/>
        </w:tc>
        <w:tc>
          <w:tcPr>
            <w:tcW w:w="540" w:type="dxa"/>
            <w:shd w:val="clear" w:color="auto" w:fill="auto"/>
          </w:tcPr>
          <w:p w:rsidR="00CA3A6E" w:rsidRDefault="00CA3A6E" w:rsidP="00C06903"/>
        </w:tc>
      </w:tr>
    </w:tbl>
    <w:p w:rsidR="00CA3A6E" w:rsidRDefault="00CA3A6E" w:rsidP="00CA3A6E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CA3A6E" w:rsidRDefault="00CA3A6E" w:rsidP="00CA3A6E"/>
    <w:p w:rsidR="00CA3A6E" w:rsidRDefault="00CA3A6E" w:rsidP="00CA3A6E"/>
    <w:p w:rsidR="00CA3A6E" w:rsidRPr="007F7F6F" w:rsidRDefault="00CA3A6E" w:rsidP="00CA3A6E"/>
    <w:p w:rsidR="0081176E" w:rsidRDefault="0081176E">
      <w:bookmarkStart w:id="3" w:name="_GoBack"/>
      <w:bookmarkEnd w:id="3"/>
    </w:p>
    <w:sectPr w:rsidR="0081176E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CA3A6E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7B0EF0" wp14:editId="06F8E8D4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CA3A6E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B0E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CA3A6E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8C61D" wp14:editId="69A509BE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CA3A6E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3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8C61D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CA3A6E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3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CA3A6E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233C" wp14:editId="64129215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CA3A6E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 xml:space="preserve">Gefährdungsbeurteilung für </w:t>
                          </w: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623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CA3A6E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 xml:space="preserve">Gefährdungsbeurteilung für </w:t>
                    </w:r>
                    <w:r w:rsidRPr="00A1440F">
                      <w:rPr>
                        <w:b/>
                        <w:color w:val="555555"/>
                        <w:szCs w:val="24"/>
                      </w:rPr>
                      <w:t>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0"/>
    <w:rsid w:val="007221F0"/>
    <w:rsid w:val="0081176E"/>
    <w:rsid w:val="00C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A1DF-F515-4FD8-8063-60AA4C0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A6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3A6E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3A6E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CA3A6E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CA3A6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CA3A6E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2019-01-25T11:05:00Z</dcterms:created>
  <dcterms:modified xsi:type="dcterms:W3CDTF">2019-01-25T11:05:00Z</dcterms:modified>
</cp:coreProperties>
</file>